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华文中宋" w:hAnsi="华文中宋" w:eastAsia="华文中宋" w:cs="华文中宋"/>
          <w:b/>
          <w:bCs/>
          <w:sz w:val="44"/>
          <w:szCs w:val="44"/>
        </w:rPr>
      </w:pPr>
    </w:p>
    <w:p>
      <w:pPr>
        <w:spacing w:line="58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文化行业标准《剧场场务服务指南》</w:t>
      </w:r>
    </w:p>
    <w:p>
      <w:pPr>
        <w:spacing w:line="58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（征求意见稿）编制说明</w:t>
      </w:r>
    </w:p>
    <w:p>
      <w:pPr>
        <w:spacing w:line="580" w:lineRule="exact"/>
        <w:ind w:firstLine="640" w:firstLineChars="200"/>
        <w:rPr>
          <w:rFonts w:ascii="仿宋" w:hAnsi="仿宋" w:eastAsia="仿宋" w:cs="仿宋"/>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一、工作简况</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1.任务来源</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剧场场务服务指南》是根据文化和旅游部科技教育司2021年9月18日下达的文化和旅游部司局函件科教函〔2021〕19号《文化和旅游部科技教育司关于批准2021年第一批文化和旅游行业标准计划项目立项的通知》制定的，立项编号为WH2021-01，计划完成时间为2023年。该项目由国家大剧院和中国艺术科技研究所起草，技术归口单位为全国剧场标准化技术委员会。</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2.编制目的</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十四五期间，中央提出要繁荣发展文化事业和文化产业，提高国家文化软实力。剧场作为公共文化服务体系的重要一环，在推动文化强国建设中发挥着不可或缺的作用。剧场场务服务是剧院运营的重要组成部分、是剧场演出的核心要素、是剧场与观众和艺术家沟通的桥梁，在服务社会公共文化、弘扬中华优秀文化和促进中外文化交流方面起到至关重要的作用。标准化的剧场场务服务规范将有助于规范剧场服务行为，提升服务质量与水平，有力推动社会主义文化事业的发展。</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3.主要编制过程</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（1）2021年10月，经过前期筹备，项目组召开会议，正式启动《剧场场务服务指南》的编制工作。会议明确了标准编制的基本思路和计划进度安排，组建标准起草工作组。</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（2）2021年11月-12月，起草组查找国内外相关标准和资料，完成资料收集及分析研究工作，确立了标准的基本技术内容。</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（3）2022年1月-6月，起草组持续召开讨论会，邀请专家参与，对标准草案稿进行了数轮修改，形成了文件讨论稿。</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（4）2022年5月-7月，从全国剧场、剧院等演出场所中筛选出800家，对其开展剧场场务服务情况线上调研，同时到在京部分剧场开展实地调研（因疫情原因不能出京）。</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（5）2022年6月-7月，起草组邀请相关专家对标准提出意见和建议，根据对专家意见逐条进行了梳理和修改，形成了征求意见稿。</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4．主要起草人及所做工作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国家大剧院副院长宫吉成，场务部部长杨洪杰，副部长陈淑华，场务部一级高管、科组长李金梅，中国艺术科技研究所高级工程师张素贤，工程师马韵彤，国家大剧院场务部主管王子恒、张赛、王子腾全程参与标准的起草、讨论、调研及专家交流等过程。国家大剧院场务部科组长曲悦、陈春辉</w:t>
      </w:r>
      <w:bookmarkStart w:id="108" w:name="_GoBack"/>
      <w:bookmarkEnd w:id="108"/>
      <w:r>
        <w:rPr>
          <w:rFonts w:hint="eastAsia" w:ascii="仿宋" w:hAnsi="仿宋" w:eastAsia="仿宋" w:cs="仿宋"/>
          <w:sz w:val="32"/>
          <w:szCs w:val="32"/>
        </w:rPr>
        <w:t>、孙鹏、杨曾阳、张欣颖、那满宇、徐杰、汲程等全程参与标准的起草、讨论、调研等各项工作。</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二、编制原则和确定标准主要内容的依据</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1.编制原则</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坚持必要性原则，随着我国经济社会的快速发展，表演艺术行业规模大幅扩张，但同时我们也应看到全国的剧场运营、服务和管理水平，尤其是面向观众和艺术家的场务服务方面，相互之间存在较大差距。因此，剧场行业亟需制定统一的剧场场务服务标准体系，更好的推动文化强国建设。</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坚持科学性原则，通过对剧场场务服务的充分调研，针对国内剧场场务服务的普遍状况，制定统一、科学、具有指导意义的剧场场务服务标准，从服务设施、服务组织、服务质量、安全管理、服务评价等方面形成统一的规范。</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坚持可适用性原则，在文旅部全国剧场标准化技术委员会的指导与推动下，国家大剧院充分发挥行业组织的代表、服务、协调和自律作用，结合自身15年的剧场场务服务经验，以标准化建设理念进行重新整合，并充分借鉴国外演艺业发达城市及国内兄弟省市的成功经验，与具有丰富标准编制经验与能力的中国艺术科技研究所一起，共同编制《剧场场务服务指南》，以期在全国剧场行业推出统一的剧场场务服务规范，推动国内剧场场务服务专业化、标准化建设，提升剧场场务服务水平。</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2.确定标准主要内容</w:t>
      </w:r>
      <w:bookmarkStart w:id="0" w:name="_Toc200976857"/>
      <w:r>
        <w:rPr>
          <w:rFonts w:hint="eastAsia" w:ascii="黑体" w:hAnsi="黑体" w:eastAsia="黑体" w:cs="黑体"/>
          <w:sz w:val="32"/>
          <w:szCs w:val="32"/>
        </w:rPr>
        <w:t>的依据</w:t>
      </w:r>
    </w:p>
    <w:bookmarkEnd w:id="0"/>
    <w:p>
      <w:pPr>
        <w:spacing w:line="580" w:lineRule="exact"/>
        <w:ind w:firstLine="640" w:firstLineChars="200"/>
        <w:rPr>
          <w:rFonts w:ascii="仿宋" w:hAnsi="仿宋" w:eastAsia="仿宋" w:cs="仿宋"/>
          <w:sz w:val="32"/>
          <w:szCs w:val="32"/>
        </w:rPr>
      </w:pPr>
      <w:bookmarkStart w:id="1" w:name="_Toc17233333"/>
      <w:bookmarkStart w:id="2" w:name="_Toc17853"/>
      <w:bookmarkStart w:id="3" w:name="_Toc3764"/>
      <w:bookmarkStart w:id="4" w:name="_Toc24884218"/>
      <w:bookmarkStart w:id="5" w:name="_Toc26986530"/>
      <w:bookmarkStart w:id="6" w:name="_Toc17233325"/>
      <w:bookmarkStart w:id="7" w:name="_Toc26648465"/>
      <w:bookmarkStart w:id="8" w:name="_Toc24884211"/>
      <w:bookmarkStart w:id="9" w:name="_Toc26986771"/>
      <w:bookmarkStart w:id="10" w:name="_Toc26718930"/>
      <w:r>
        <w:rPr>
          <w:rFonts w:hint="eastAsia" w:ascii="仿宋" w:hAnsi="仿宋" w:eastAsia="仿宋" w:cs="仿宋"/>
          <w:sz w:val="32"/>
          <w:szCs w:val="32"/>
        </w:rPr>
        <w:t>（1）范围</w:t>
      </w:r>
      <w:bookmarkEnd w:id="1"/>
      <w:bookmarkEnd w:id="2"/>
      <w:bookmarkEnd w:id="3"/>
      <w:bookmarkEnd w:id="4"/>
      <w:bookmarkEnd w:id="5"/>
      <w:bookmarkEnd w:id="6"/>
      <w:bookmarkEnd w:id="7"/>
      <w:bookmarkEnd w:id="8"/>
      <w:bookmarkEnd w:id="9"/>
      <w:bookmarkEnd w:id="10"/>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文件为剧场提供了观众服务、演职人员服务、场务人员管理、安全管理、服务评价等方面的指导。本文件适用于专业剧场、音乐厅等演出场所，其他类型剧场、可进行公开性文艺演出的其他演出场所可参照执行。</w:t>
      </w:r>
    </w:p>
    <w:p>
      <w:pPr>
        <w:spacing w:line="580" w:lineRule="exact"/>
        <w:ind w:firstLine="640" w:firstLineChars="200"/>
        <w:rPr>
          <w:rFonts w:ascii="仿宋" w:hAnsi="仿宋" w:eastAsia="仿宋" w:cs="仿宋"/>
          <w:sz w:val="32"/>
          <w:szCs w:val="32"/>
        </w:rPr>
      </w:pPr>
      <w:bookmarkStart w:id="11" w:name="_Toc26986772"/>
      <w:bookmarkStart w:id="12" w:name="_Toc13974"/>
      <w:bookmarkStart w:id="13" w:name="_Toc26648466"/>
      <w:bookmarkStart w:id="14" w:name="_Toc24884212"/>
      <w:bookmarkStart w:id="15" w:name="_Toc26718931"/>
      <w:bookmarkStart w:id="16" w:name="_Toc20788"/>
      <w:bookmarkStart w:id="17" w:name="_Toc24884219"/>
      <w:bookmarkStart w:id="18" w:name="_Toc17233334"/>
      <w:bookmarkStart w:id="19" w:name="_Toc17233326"/>
      <w:bookmarkStart w:id="20" w:name="_Toc26986531"/>
      <w:r>
        <w:rPr>
          <w:rFonts w:hint="eastAsia" w:ascii="仿宋" w:hAnsi="仿宋" w:eastAsia="仿宋" w:cs="仿宋"/>
          <w:sz w:val="32"/>
          <w:szCs w:val="32"/>
        </w:rPr>
        <w:t>（2）规范性引用文件</w:t>
      </w:r>
      <w:bookmarkEnd w:id="11"/>
      <w:bookmarkEnd w:id="12"/>
      <w:bookmarkEnd w:id="13"/>
      <w:bookmarkEnd w:id="14"/>
      <w:bookmarkEnd w:id="15"/>
      <w:bookmarkEnd w:id="16"/>
      <w:bookmarkEnd w:id="17"/>
      <w:bookmarkEnd w:id="18"/>
      <w:bookmarkEnd w:id="19"/>
      <w:bookmarkEnd w:id="20"/>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本指南引用《WH/T 59-2013  演出场馆设备技术术语  剧场》和《WH∕T 77-2016 舞台管理导则》，通过文中的规范性引用而构成必不可少的条款。</w:t>
      </w:r>
    </w:p>
    <w:p>
      <w:pPr>
        <w:spacing w:line="580" w:lineRule="exact"/>
        <w:ind w:firstLine="640" w:firstLineChars="200"/>
        <w:rPr>
          <w:rFonts w:ascii="仿宋" w:hAnsi="仿宋" w:eastAsia="仿宋" w:cs="仿宋"/>
          <w:sz w:val="32"/>
          <w:szCs w:val="32"/>
        </w:rPr>
      </w:pPr>
      <w:bookmarkStart w:id="21" w:name="_Toc30957"/>
      <w:bookmarkStart w:id="22" w:name="_Toc189"/>
      <w:r>
        <w:rPr>
          <w:rFonts w:hint="eastAsia" w:ascii="仿宋" w:hAnsi="仿宋" w:eastAsia="仿宋" w:cs="仿宋"/>
          <w:sz w:val="32"/>
          <w:szCs w:val="32"/>
        </w:rPr>
        <w:t>（3）术语和定义</w:t>
      </w:r>
      <w:bookmarkEnd w:id="21"/>
      <w:bookmarkEnd w:id="22"/>
    </w:p>
    <w:p>
      <w:pPr>
        <w:spacing w:line="580" w:lineRule="exact"/>
        <w:ind w:firstLine="640" w:firstLineChars="200"/>
        <w:rPr>
          <w:rFonts w:ascii="仿宋" w:hAnsi="仿宋" w:eastAsia="仿宋" w:cs="仿宋"/>
          <w:sz w:val="32"/>
          <w:szCs w:val="32"/>
        </w:rPr>
      </w:pPr>
      <w:bookmarkStart w:id="23" w:name="_Toc26986532"/>
      <w:bookmarkEnd w:id="23"/>
      <w:r>
        <w:rPr>
          <w:rFonts w:hint="eastAsia" w:ascii="仿宋" w:hAnsi="仿宋" w:eastAsia="仿宋" w:cs="仿宋"/>
          <w:sz w:val="32"/>
          <w:szCs w:val="32"/>
        </w:rPr>
        <w:t>本指南对</w:t>
      </w:r>
      <w:bookmarkStart w:id="24" w:name="_Toc18054"/>
      <w:bookmarkEnd w:id="24"/>
      <w:bookmarkStart w:id="25" w:name="_Toc22310"/>
      <w:bookmarkEnd w:id="25"/>
      <w:bookmarkStart w:id="26" w:name="_Toc7340"/>
      <w:bookmarkEnd w:id="26"/>
      <w:bookmarkStart w:id="27" w:name="_Toc20704"/>
      <w:bookmarkEnd w:id="27"/>
      <w:bookmarkStart w:id="28" w:name="_Toc17100"/>
      <w:bookmarkEnd w:id="28"/>
      <w:bookmarkStart w:id="29" w:name="_Toc13386"/>
      <w:bookmarkEnd w:id="29"/>
      <w:bookmarkStart w:id="30" w:name="_Toc67299893"/>
      <w:bookmarkEnd w:id="30"/>
      <w:bookmarkStart w:id="31" w:name="_Toc1961"/>
      <w:bookmarkStart w:id="32" w:name="_Toc5721"/>
      <w:bookmarkStart w:id="33" w:name="_Toc67299894"/>
      <w:bookmarkStart w:id="34" w:name="_Toc18869"/>
      <w:bookmarkStart w:id="35" w:name="_Toc27481"/>
      <w:bookmarkStart w:id="36" w:name="_Toc21471"/>
      <w:bookmarkStart w:id="37" w:name="_Toc4910"/>
      <w:r>
        <w:rPr>
          <w:rFonts w:hint="eastAsia" w:ascii="仿宋" w:hAnsi="仿宋" w:eastAsia="仿宋" w:cs="仿宋"/>
          <w:sz w:val="32"/>
          <w:szCs w:val="32"/>
        </w:rPr>
        <w:t>剧场</w:t>
      </w:r>
      <w:bookmarkEnd w:id="31"/>
      <w:bookmarkEnd w:id="32"/>
      <w:bookmarkEnd w:id="33"/>
      <w:bookmarkEnd w:id="34"/>
      <w:bookmarkEnd w:id="35"/>
      <w:bookmarkEnd w:id="36"/>
      <w:bookmarkEnd w:id="37"/>
      <w:r>
        <w:rPr>
          <w:rFonts w:hint="eastAsia" w:ascii="仿宋" w:hAnsi="仿宋" w:eastAsia="仿宋" w:cs="仿宋"/>
          <w:sz w:val="32"/>
          <w:szCs w:val="32"/>
        </w:rPr>
        <w:t>、观众厅、舞台、后台等18个术语进行定义。</w:t>
      </w:r>
      <w:bookmarkStart w:id="38" w:name="_Toc19242"/>
      <w:bookmarkEnd w:id="38"/>
      <w:bookmarkStart w:id="39" w:name="_Toc67299895"/>
      <w:bookmarkEnd w:id="39"/>
      <w:bookmarkStart w:id="40" w:name="_Toc1591"/>
      <w:bookmarkEnd w:id="40"/>
      <w:bookmarkStart w:id="41" w:name="_Toc18349"/>
      <w:bookmarkEnd w:id="41"/>
      <w:bookmarkStart w:id="42" w:name="_Toc4301"/>
      <w:bookmarkEnd w:id="42"/>
      <w:bookmarkStart w:id="43" w:name="_Toc16332"/>
      <w:bookmarkEnd w:id="43"/>
    </w:p>
    <w:p>
      <w:pPr>
        <w:spacing w:line="580" w:lineRule="exact"/>
        <w:ind w:firstLine="640" w:firstLineChars="200"/>
        <w:rPr>
          <w:rFonts w:ascii="仿宋" w:hAnsi="仿宋" w:eastAsia="仿宋" w:cs="仿宋"/>
          <w:sz w:val="32"/>
          <w:szCs w:val="32"/>
        </w:rPr>
      </w:pPr>
      <w:bookmarkStart w:id="44" w:name="_Toc19839"/>
      <w:bookmarkStart w:id="45" w:name="_Toc3529"/>
      <w:r>
        <w:rPr>
          <w:rFonts w:hint="eastAsia" w:ascii="仿宋" w:hAnsi="仿宋" w:eastAsia="仿宋" w:cs="仿宋"/>
          <w:sz w:val="32"/>
          <w:szCs w:val="32"/>
        </w:rPr>
        <w:t>（4）总则</w:t>
      </w:r>
      <w:bookmarkEnd w:id="44"/>
      <w:bookmarkEnd w:id="45"/>
    </w:p>
    <w:p>
      <w:pPr>
        <w:spacing w:line="580" w:lineRule="exact"/>
        <w:ind w:firstLine="640" w:firstLineChars="200"/>
        <w:rPr>
          <w:rFonts w:ascii="仿宋" w:hAnsi="仿宋" w:eastAsia="仿宋" w:cs="仿宋"/>
          <w:sz w:val="32"/>
          <w:szCs w:val="32"/>
        </w:rPr>
      </w:pPr>
      <w:bookmarkStart w:id="46" w:name="_Toc15124"/>
      <w:bookmarkStart w:id="47" w:name="_Toc1325"/>
      <w:r>
        <w:rPr>
          <w:rFonts w:hint="eastAsia" w:ascii="仿宋" w:hAnsi="仿宋" w:eastAsia="仿宋" w:cs="仿宋"/>
          <w:sz w:val="32"/>
          <w:szCs w:val="32"/>
        </w:rPr>
        <w:t>总则概括总结了剧场场务服务的总体原则，剧场场务服务应遵循现代化、专业化、人性化的工作原则，为观众和演职人员营造文明、舒适、安全、有序的观演和候演环境</w:t>
      </w:r>
      <w:bookmarkEnd w:id="46"/>
      <w:bookmarkEnd w:id="47"/>
      <w:bookmarkStart w:id="48" w:name="_Toc25523"/>
      <w:bookmarkStart w:id="49" w:name="_Toc30110"/>
      <w:r>
        <w:rPr>
          <w:rFonts w:hint="eastAsia" w:ascii="仿宋" w:hAnsi="仿宋" w:eastAsia="仿宋" w:cs="仿宋"/>
          <w:sz w:val="32"/>
          <w:szCs w:val="32"/>
        </w:rPr>
        <w:t>；剧场场务服务机制、服务标准和服务流程</w:t>
      </w:r>
      <w:bookmarkEnd w:id="48"/>
      <w:bookmarkEnd w:id="49"/>
      <w:bookmarkStart w:id="50" w:name="_Toc5233"/>
      <w:bookmarkStart w:id="51" w:name="_Toc27876"/>
      <w:r>
        <w:rPr>
          <w:rFonts w:hint="eastAsia" w:ascii="仿宋" w:hAnsi="仿宋" w:eastAsia="仿宋" w:cs="仿宋"/>
          <w:sz w:val="32"/>
          <w:szCs w:val="32"/>
        </w:rPr>
        <w:t>应符合剧场特点，并根据不同的演出艺术门类、观众群体、演职人员开展相应的服务工作</w:t>
      </w:r>
      <w:bookmarkEnd w:id="50"/>
      <w:bookmarkEnd w:id="51"/>
      <w:bookmarkStart w:id="52" w:name="_Toc691"/>
      <w:bookmarkStart w:id="53" w:name="_Toc19343"/>
      <w:r>
        <w:rPr>
          <w:rFonts w:hint="eastAsia" w:ascii="仿宋" w:hAnsi="仿宋" w:eastAsia="仿宋" w:cs="仿宋"/>
          <w:sz w:val="32"/>
          <w:szCs w:val="32"/>
        </w:rPr>
        <w:t>；场务人员应保持良好的工作状态，满足观众、演职人员现场的合理需求</w:t>
      </w:r>
      <w:bookmarkEnd w:id="52"/>
      <w:bookmarkEnd w:id="53"/>
      <w:bookmarkStart w:id="54" w:name="_Toc3597"/>
      <w:bookmarkStart w:id="55" w:name="_Toc11936"/>
      <w:r>
        <w:rPr>
          <w:rFonts w:hint="eastAsia" w:ascii="仿宋" w:hAnsi="仿宋" w:eastAsia="仿宋" w:cs="仿宋"/>
          <w:sz w:val="32"/>
          <w:szCs w:val="32"/>
        </w:rPr>
        <w:t>，并做好安全管理和应急处置。</w:t>
      </w:r>
      <w:bookmarkEnd w:id="54"/>
      <w:bookmarkEnd w:id="55"/>
    </w:p>
    <w:p>
      <w:pPr>
        <w:spacing w:line="580" w:lineRule="exact"/>
        <w:ind w:firstLine="640" w:firstLineChars="200"/>
        <w:rPr>
          <w:rFonts w:ascii="仿宋" w:hAnsi="仿宋" w:eastAsia="仿宋" w:cs="仿宋"/>
          <w:sz w:val="32"/>
          <w:szCs w:val="32"/>
        </w:rPr>
      </w:pPr>
      <w:bookmarkStart w:id="56" w:name="_Toc8926"/>
      <w:bookmarkStart w:id="57" w:name="_Toc25245"/>
      <w:r>
        <w:rPr>
          <w:rFonts w:hint="eastAsia" w:ascii="仿宋" w:hAnsi="仿宋" w:eastAsia="仿宋" w:cs="仿宋"/>
          <w:sz w:val="32"/>
          <w:szCs w:val="32"/>
        </w:rPr>
        <w:t>（5）观众服务</w:t>
      </w:r>
      <w:bookmarkEnd w:id="56"/>
      <w:bookmarkEnd w:id="57"/>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观众服务包含引导服务、验票服务、寄存服务、观演现场服务以及特殊观众服务，其中引导服务要求剧场宜为观众提供相关演出内容的介绍信息，面对观众的问询场务人员应耐心听取观众，尔后为观众提供简洁、明确的</w:t>
      </w:r>
      <w:bookmarkStart w:id="58" w:name="_Toc10301"/>
      <w:r>
        <w:rPr>
          <w:rFonts w:hint="eastAsia" w:ascii="仿宋" w:hAnsi="仿宋" w:eastAsia="仿宋" w:cs="仿宋"/>
          <w:sz w:val="32"/>
          <w:szCs w:val="32"/>
        </w:rPr>
        <w:t>标准化引导；</w:t>
      </w:r>
      <w:bookmarkStart w:id="59" w:name="_Toc27347"/>
      <w:r>
        <w:rPr>
          <w:rFonts w:hint="eastAsia" w:ascii="仿宋" w:hAnsi="仿宋" w:eastAsia="仿宋" w:cs="仿宋"/>
          <w:sz w:val="32"/>
          <w:szCs w:val="32"/>
        </w:rPr>
        <w:t>验票服务</w:t>
      </w:r>
      <w:bookmarkEnd w:id="58"/>
      <w:bookmarkEnd w:id="59"/>
      <w:r>
        <w:rPr>
          <w:rFonts w:hint="eastAsia" w:ascii="仿宋" w:hAnsi="仿宋" w:eastAsia="仿宋" w:cs="仿宋"/>
          <w:sz w:val="32"/>
          <w:szCs w:val="32"/>
        </w:rPr>
        <w:t>对验票涉及的各项内容进行明确详细的规定，场务人员宜为观众提供高效、便捷、准确的验票服务，同时做好不符合验票要求观众的解释和服务工作；</w:t>
      </w:r>
      <w:bookmarkStart w:id="60" w:name="_Toc66"/>
      <w:bookmarkStart w:id="61" w:name="_Toc19522"/>
      <w:r>
        <w:rPr>
          <w:rFonts w:hint="eastAsia" w:ascii="仿宋" w:hAnsi="仿宋" w:eastAsia="仿宋" w:cs="仿宋"/>
          <w:sz w:val="32"/>
          <w:szCs w:val="32"/>
        </w:rPr>
        <w:t>寄存服务</w:t>
      </w:r>
      <w:bookmarkEnd w:id="60"/>
      <w:bookmarkEnd w:id="61"/>
      <w:bookmarkStart w:id="62" w:name="_Toc25252"/>
      <w:bookmarkStart w:id="63" w:name="_Toc18295"/>
      <w:bookmarkStart w:id="64" w:name="_Toc1411"/>
      <w:bookmarkStart w:id="65" w:name="_Toc26943"/>
      <w:r>
        <w:rPr>
          <w:rFonts w:hint="eastAsia" w:ascii="仿宋" w:hAnsi="仿宋" w:eastAsia="仿宋" w:cs="仿宋"/>
          <w:sz w:val="32"/>
          <w:szCs w:val="32"/>
        </w:rPr>
        <w:t>对寄存的物品类别、时限、保管方式等进行详细阐述，并告知观众，同时对寄存服务的空间、物品种类、安全检查</w:t>
      </w:r>
      <w:bookmarkEnd w:id="62"/>
      <w:bookmarkEnd w:id="63"/>
      <w:bookmarkEnd w:id="64"/>
      <w:bookmarkEnd w:id="65"/>
      <w:r>
        <w:rPr>
          <w:rFonts w:hint="eastAsia" w:ascii="仿宋" w:hAnsi="仿宋" w:eastAsia="仿宋" w:cs="仿宋"/>
          <w:sz w:val="32"/>
          <w:szCs w:val="32"/>
        </w:rPr>
        <w:t>等内容进行阐述；</w:t>
      </w:r>
      <w:bookmarkStart w:id="66" w:name="_Toc8629"/>
      <w:bookmarkStart w:id="67" w:name="_Toc12025"/>
      <w:r>
        <w:rPr>
          <w:rFonts w:hint="eastAsia" w:ascii="仿宋" w:hAnsi="仿宋" w:eastAsia="仿宋" w:cs="仿宋"/>
          <w:sz w:val="32"/>
          <w:szCs w:val="32"/>
        </w:rPr>
        <w:t>观演现场服务</w:t>
      </w:r>
      <w:bookmarkEnd w:id="66"/>
      <w:bookmarkEnd w:id="67"/>
      <w:bookmarkStart w:id="68" w:name="_Toc27933"/>
      <w:r>
        <w:rPr>
          <w:rFonts w:hint="eastAsia" w:ascii="仿宋" w:hAnsi="仿宋" w:eastAsia="仿宋" w:cs="仿宋"/>
          <w:sz w:val="32"/>
          <w:szCs w:val="32"/>
        </w:rPr>
        <w:t>对观众进入观众厅的验票、领位、演出秩序维护、观演礼仪普及等工作做出</w:t>
      </w:r>
      <w:bookmarkEnd w:id="68"/>
      <w:bookmarkStart w:id="69" w:name="_Toc27592"/>
      <w:bookmarkStart w:id="70" w:name="_Toc10065"/>
      <w:r>
        <w:rPr>
          <w:rFonts w:hint="eastAsia" w:ascii="仿宋" w:hAnsi="仿宋" w:eastAsia="仿宋" w:cs="仿宋"/>
          <w:sz w:val="32"/>
          <w:szCs w:val="32"/>
        </w:rPr>
        <w:t>阐述；特殊观众服务对残疾观众、老年观众、儿童观众和贵宾等特殊观众提供适宜的个性化服务做出阐述或建议。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（6）演职人员服务</w:t>
      </w:r>
      <w:bookmarkEnd w:id="69"/>
      <w:bookmarkEnd w:id="70"/>
      <w:bookmarkStart w:id="71" w:name="_Toc18235"/>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演职人员服务包含化装室服务</w:t>
      </w:r>
      <w:bookmarkEnd w:id="71"/>
      <w:r>
        <w:rPr>
          <w:rFonts w:hint="eastAsia" w:ascii="仿宋" w:hAnsi="仿宋" w:eastAsia="仿宋" w:cs="仿宋"/>
          <w:sz w:val="32"/>
          <w:szCs w:val="32"/>
        </w:rPr>
        <w:t>、排练区域服务、其他区域服务和候演现场服务，其中化装室服务对化装室的使用等做出规范性阐述；</w:t>
      </w:r>
      <w:bookmarkStart w:id="72" w:name="_Toc30994"/>
      <w:bookmarkStart w:id="73" w:name="_Toc19750"/>
      <w:r>
        <w:rPr>
          <w:rFonts w:hint="eastAsia" w:ascii="仿宋" w:hAnsi="仿宋" w:eastAsia="仿宋" w:cs="仿宋"/>
          <w:sz w:val="32"/>
          <w:szCs w:val="32"/>
        </w:rPr>
        <w:t>排练区域服务</w:t>
      </w:r>
      <w:bookmarkEnd w:id="72"/>
      <w:bookmarkEnd w:id="73"/>
      <w:r>
        <w:rPr>
          <w:rFonts w:hint="eastAsia" w:ascii="仿宋" w:hAnsi="仿宋" w:eastAsia="仿宋" w:cs="仿宋"/>
          <w:sz w:val="32"/>
          <w:szCs w:val="32"/>
        </w:rPr>
        <w:t>对排练区域的使用等做出规范性阐述；同时</w:t>
      </w:r>
      <w:bookmarkStart w:id="74" w:name="_Toc26663"/>
      <w:r>
        <w:rPr>
          <w:rFonts w:hint="eastAsia" w:ascii="仿宋" w:hAnsi="仿宋" w:eastAsia="仿宋" w:cs="仿宋"/>
          <w:sz w:val="32"/>
          <w:szCs w:val="32"/>
        </w:rPr>
        <w:t>建议场务人员宜为演职人员提供候演区域和抢装区域服务，提供相应物品，保障通道畅通</w:t>
      </w:r>
      <w:bookmarkEnd w:id="74"/>
      <w:r>
        <w:rPr>
          <w:rFonts w:hint="eastAsia" w:ascii="仿宋" w:hAnsi="仿宋" w:eastAsia="仿宋" w:cs="仿宋"/>
          <w:sz w:val="32"/>
          <w:szCs w:val="32"/>
        </w:rPr>
        <w:t>，营造整洁、安静、舒适的候演环境。</w:t>
      </w:r>
    </w:p>
    <w:p>
      <w:pPr>
        <w:spacing w:line="580" w:lineRule="exact"/>
        <w:ind w:firstLine="640" w:firstLineChars="200"/>
        <w:rPr>
          <w:rFonts w:ascii="仿宋" w:hAnsi="仿宋" w:eastAsia="仿宋" w:cs="仿宋"/>
          <w:sz w:val="32"/>
          <w:szCs w:val="32"/>
        </w:rPr>
      </w:pPr>
      <w:bookmarkStart w:id="75" w:name="_Toc19463"/>
      <w:bookmarkStart w:id="76" w:name="_Toc2589"/>
      <w:bookmarkStart w:id="77" w:name="_Toc6891"/>
      <w:r>
        <w:rPr>
          <w:rFonts w:hint="eastAsia" w:ascii="仿宋" w:hAnsi="仿宋" w:eastAsia="仿宋" w:cs="仿宋"/>
          <w:sz w:val="32"/>
          <w:szCs w:val="32"/>
        </w:rPr>
        <w:t>（7）场务人员管理</w:t>
      </w:r>
      <w:bookmarkEnd w:id="75"/>
      <w:bookmarkEnd w:id="76"/>
      <w:bookmarkEnd w:id="77"/>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场务人员管理包含服务形象与服务技能两部分，</w:t>
      </w:r>
      <w:bookmarkStart w:id="78" w:name="_Toc2127"/>
      <w:bookmarkStart w:id="79" w:name="_Toc15696"/>
      <w:r>
        <w:rPr>
          <w:rFonts w:hint="eastAsia" w:ascii="仿宋" w:hAnsi="仿宋" w:eastAsia="仿宋" w:cs="仿宋"/>
          <w:sz w:val="32"/>
          <w:szCs w:val="32"/>
        </w:rPr>
        <w:t>要求场务人员应保持主动、热情的工作态度，为观众和演职人员提供周到、细致的服务，同时统一着装，保持端庄、稳重的仪容仪表，在服务时使用标准的语言规范和行为规范，为观众和演职人员提供优质的服务；</w:t>
      </w:r>
      <w:bookmarkStart w:id="80" w:name="_Toc30048"/>
      <w:r>
        <w:rPr>
          <w:rFonts w:hint="eastAsia" w:ascii="仿宋" w:hAnsi="仿宋" w:eastAsia="仿宋" w:cs="仿宋"/>
          <w:sz w:val="32"/>
          <w:szCs w:val="32"/>
        </w:rPr>
        <w:t>在服务技能</w:t>
      </w:r>
      <w:bookmarkEnd w:id="80"/>
      <w:r>
        <w:rPr>
          <w:rFonts w:hint="eastAsia" w:ascii="仿宋" w:hAnsi="仿宋" w:eastAsia="仿宋" w:cs="仿宋"/>
          <w:sz w:val="32"/>
          <w:szCs w:val="32"/>
        </w:rPr>
        <w:t>方面，要求</w:t>
      </w:r>
      <w:bookmarkEnd w:id="78"/>
      <w:bookmarkEnd w:id="79"/>
      <w:bookmarkStart w:id="81" w:name="_Toc4954"/>
      <w:bookmarkStart w:id="82" w:name="_Toc11767"/>
      <w:r>
        <w:rPr>
          <w:rFonts w:hint="eastAsia" w:ascii="仿宋" w:hAnsi="仿宋" w:eastAsia="仿宋" w:cs="仿宋"/>
          <w:sz w:val="32"/>
          <w:szCs w:val="32"/>
        </w:rPr>
        <w:t>场务人员应具备良好的服务意识、服务技能及相应的艺术知识，接受入职培训及定期业务培训，</w:t>
      </w:r>
      <w:bookmarkEnd w:id="81"/>
      <w:bookmarkEnd w:id="82"/>
      <w:bookmarkStart w:id="83" w:name="_Toc28217"/>
      <w:r>
        <w:rPr>
          <w:rFonts w:hint="eastAsia" w:ascii="仿宋" w:hAnsi="仿宋" w:eastAsia="仿宋" w:cs="仿宋"/>
          <w:sz w:val="32"/>
          <w:szCs w:val="32"/>
        </w:rPr>
        <w:t>接受工作考核，不断改进和提升服务水平。</w:t>
      </w:r>
      <w:bookmarkEnd w:id="83"/>
    </w:p>
    <w:p>
      <w:pPr>
        <w:spacing w:line="580" w:lineRule="exact"/>
        <w:ind w:firstLine="640" w:firstLineChars="200"/>
        <w:rPr>
          <w:rFonts w:ascii="仿宋" w:hAnsi="仿宋" w:eastAsia="仿宋" w:cs="仿宋"/>
          <w:sz w:val="32"/>
          <w:szCs w:val="32"/>
        </w:rPr>
      </w:pPr>
      <w:bookmarkStart w:id="84" w:name="_Toc26793"/>
      <w:bookmarkStart w:id="85" w:name="_Toc10103"/>
      <w:bookmarkStart w:id="86" w:name="_Toc6268"/>
      <w:r>
        <w:rPr>
          <w:rFonts w:hint="eastAsia" w:ascii="仿宋" w:hAnsi="仿宋" w:eastAsia="仿宋" w:cs="仿宋"/>
          <w:sz w:val="32"/>
          <w:szCs w:val="32"/>
        </w:rPr>
        <w:t>（8）安全管理</w:t>
      </w:r>
      <w:bookmarkEnd w:id="84"/>
      <w:bookmarkEnd w:id="85"/>
      <w:bookmarkEnd w:id="86"/>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安全管理包括演出安全、房间安全、应急处置等方面，明确剧场应遵守国家关于演出安全的相关规定，确保演出安全；做好观众厅、后台等各类房间的日常管理、巡视检查等工作；制定“应急处置方案”，对突发事件的处置做出明确规定，以减少突发事件的危害和影响。</w:t>
      </w:r>
    </w:p>
    <w:p>
      <w:pPr>
        <w:spacing w:line="580" w:lineRule="exact"/>
        <w:ind w:firstLine="640" w:firstLineChars="200"/>
        <w:rPr>
          <w:rFonts w:ascii="仿宋" w:hAnsi="仿宋" w:eastAsia="仿宋" w:cs="仿宋"/>
          <w:sz w:val="32"/>
          <w:szCs w:val="32"/>
        </w:rPr>
      </w:pPr>
      <w:bookmarkStart w:id="87" w:name="_Toc17579"/>
      <w:bookmarkStart w:id="88" w:name="_Toc6278"/>
      <w:r>
        <w:rPr>
          <w:rFonts w:hint="eastAsia" w:ascii="仿宋" w:hAnsi="仿宋" w:eastAsia="仿宋" w:cs="仿宋"/>
          <w:sz w:val="32"/>
          <w:szCs w:val="32"/>
        </w:rPr>
        <w:t>（9）服务评价</w:t>
      </w:r>
      <w:bookmarkEnd w:id="87"/>
      <w:bookmarkEnd w:id="88"/>
    </w:p>
    <w:p>
      <w:pPr>
        <w:spacing w:line="580" w:lineRule="exact"/>
        <w:ind w:firstLine="640" w:firstLineChars="200"/>
        <w:rPr>
          <w:rFonts w:ascii="仿宋" w:hAnsi="仿宋" w:eastAsia="仿宋" w:cs="仿宋"/>
          <w:sz w:val="32"/>
          <w:szCs w:val="32"/>
        </w:rPr>
      </w:pPr>
      <w:bookmarkStart w:id="89" w:name="_Toc2795"/>
      <w:bookmarkStart w:id="90" w:name="_Toc325"/>
      <w:bookmarkStart w:id="91" w:name="_Toc21790"/>
      <w:bookmarkStart w:id="92" w:name="_Toc6689"/>
      <w:bookmarkStart w:id="93" w:name="_Toc7776"/>
      <w:bookmarkStart w:id="94" w:name="_Toc25184"/>
      <w:r>
        <w:rPr>
          <w:rFonts w:hint="eastAsia" w:ascii="仿宋" w:hAnsi="仿宋" w:eastAsia="仿宋" w:cs="仿宋"/>
          <w:sz w:val="32"/>
          <w:szCs w:val="32"/>
        </w:rPr>
        <w:t>服务评价明确剧场宜建立健全场务服务评价机制，积极听取观众及演职人员的意见和建议，促进服务水平提升</w:t>
      </w:r>
      <w:bookmarkEnd w:id="89"/>
      <w:bookmarkEnd w:id="90"/>
      <w:bookmarkEnd w:id="91"/>
      <w:bookmarkEnd w:id="92"/>
      <w:bookmarkEnd w:id="93"/>
      <w:bookmarkEnd w:id="94"/>
      <w:bookmarkStart w:id="95" w:name="_Toc32288"/>
      <w:bookmarkStart w:id="96" w:name="_Toc15871"/>
      <w:bookmarkStart w:id="97" w:name="_Toc29673"/>
      <w:bookmarkStart w:id="98" w:name="_Toc3797"/>
      <w:bookmarkStart w:id="99" w:name="_Toc19355"/>
      <w:bookmarkStart w:id="100" w:name="_Toc13519"/>
      <w:r>
        <w:rPr>
          <w:rFonts w:hint="eastAsia" w:ascii="仿宋" w:hAnsi="仿宋" w:eastAsia="仿宋" w:cs="仿宋"/>
          <w:sz w:val="32"/>
          <w:szCs w:val="32"/>
        </w:rPr>
        <w:t>，围绕总体服务质量及服务人员专业能力水平展开</w:t>
      </w:r>
      <w:bookmarkEnd w:id="95"/>
      <w:bookmarkEnd w:id="96"/>
      <w:bookmarkEnd w:id="97"/>
      <w:bookmarkEnd w:id="98"/>
      <w:bookmarkEnd w:id="99"/>
      <w:bookmarkEnd w:id="100"/>
      <w:bookmarkStart w:id="101" w:name="_Toc15036"/>
      <w:bookmarkEnd w:id="101"/>
      <w:bookmarkStart w:id="102" w:name="_Toc24832"/>
      <w:bookmarkStart w:id="103" w:name="_Toc12096"/>
      <w:bookmarkStart w:id="104" w:name="_Toc27213"/>
      <w:bookmarkStart w:id="105" w:name="_Toc21657"/>
      <w:bookmarkStart w:id="106" w:name="_Toc30775"/>
      <w:r>
        <w:rPr>
          <w:rFonts w:hint="eastAsia" w:ascii="仿宋" w:hAnsi="仿宋" w:eastAsia="仿宋" w:cs="仿宋"/>
          <w:sz w:val="32"/>
          <w:szCs w:val="32"/>
        </w:rPr>
        <w:t>，</w:t>
      </w:r>
      <w:bookmarkStart w:id="107" w:name="_Toc18853"/>
      <w:r>
        <w:rPr>
          <w:rFonts w:hint="eastAsia" w:ascii="仿宋" w:hAnsi="仿宋" w:eastAsia="仿宋" w:cs="仿宋"/>
          <w:sz w:val="32"/>
          <w:szCs w:val="32"/>
        </w:rPr>
        <w:t>并将服务评价情况反馈内容作为场务服务工作改进的依据，及时通过场务人员培训予以改善。</w:t>
      </w:r>
      <w:bookmarkEnd w:id="102"/>
      <w:bookmarkEnd w:id="103"/>
      <w:bookmarkEnd w:id="104"/>
      <w:bookmarkEnd w:id="105"/>
      <w:bookmarkEnd w:id="106"/>
      <w:bookmarkEnd w:id="107"/>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三、主要试验、验证分析</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深入开展《剧场场务服务指南》编制工作，充分反应全国剧场场务服务现状和需要，起草组于2022年5月-7月向全国剧场以电子调查问卷形式开展场务服务情况调研。从全国（不含港澳台）2000余家剧场中筛选出800家不同省区、不同规模、不同功能，具有代表性的剧场，成立9个专项小组，分别查询联系方式并进行联系。因受疫情停业、剧场注销等原因，最终联系到426家剧场，明确表示接受调研的剧场有199家并向其发出调查问卷。经过反复沟通联系，课题组实际收到有效反馈109份，其中单体建筑剧场反馈71份、群体建筑剧场反馈38份，涵盖24个省级行政区域，具有一定的代表性和普遍性，为编制工作提供全面详实的依据与建议。</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四、采用国际标准和国外先进标准的程度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本标准编制过程中未采用国际标准和国外先进标准。</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五、与现行有关法律、法规和强制性标准的关系</w:t>
      </w:r>
    </w:p>
    <w:p>
      <w:pPr>
        <w:spacing w:line="58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在现行有关法律、法规和强制性标准下制定本标准。</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六、重大分歧意见的处理经过和依据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本标准编制过程中，无重大分歧意见。</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七、作为强制性标准或推荐性标准的建议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建议作为推荐性标准。</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八、贯彻标准的要求和措施建议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《剧场场务服务指南》获批后，建议出版印刷，公开发行。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该文化行业标准的宣贯活动的组织，由行业标准主管部门、 全国剧场标准化技术委员会负责。主要起草单位负责宣贯活动的标准内容讲解。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主要起草单位还将利用自身开展工作的机会对该标准进行宣讲推广，将实施过程中出现的问题和改进建议反馈起草组以便进一步对本标准进行修改完善，真正起到促进剧场不断提升管理和服务水平的目的。</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九、废止现行有关标准的建议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十、其他应予说明的情况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3"/>
      <w:suff w:val="nothing"/>
      <w:lvlText w:val="%1%2　"/>
      <w:lvlJc w:val="left"/>
      <w:pPr>
        <w:ind w:left="0" w:firstLine="0"/>
      </w:pPr>
      <w:rPr>
        <w:rFonts w:hint="eastAsia" w:ascii="黑体" w:eastAsia="黑体"/>
        <w:b w:val="0"/>
        <w:i w:val="0"/>
        <w:sz w:val="21"/>
      </w:rPr>
    </w:lvl>
    <w:lvl w:ilvl="2" w:tentative="0">
      <w:start w:val="1"/>
      <w:numFmt w:val="decimal"/>
      <w:pStyle w:val="1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7"/>
      <w:suff w:val="nothing"/>
      <w:lvlText w:val="%1%2.%3.%4　"/>
      <w:lvlJc w:val="left"/>
      <w:pPr>
        <w:ind w:left="992"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1NWRmOTQ0ZjlhYzY2NmQ1NjBmZjI1NjBjNWI0ZDIifQ=="/>
  </w:docVars>
  <w:rsids>
    <w:rsidRoot w:val="00CD57F5"/>
    <w:rsid w:val="00000DD8"/>
    <w:rsid w:val="001027B6"/>
    <w:rsid w:val="001F05CA"/>
    <w:rsid w:val="001F27F9"/>
    <w:rsid w:val="00292C7D"/>
    <w:rsid w:val="002D23CE"/>
    <w:rsid w:val="00323E03"/>
    <w:rsid w:val="003268C0"/>
    <w:rsid w:val="00336036"/>
    <w:rsid w:val="00344DCC"/>
    <w:rsid w:val="00365851"/>
    <w:rsid w:val="003C1A9A"/>
    <w:rsid w:val="003F1B67"/>
    <w:rsid w:val="00402FD5"/>
    <w:rsid w:val="0041423A"/>
    <w:rsid w:val="004830F2"/>
    <w:rsid w:val="004E3C7D"/>
    <w:rsid w:val="005540EC"/>
    <w:rsid w:val="005F4886"/>
    <w:rsid w:val="0060414E"/>
    <w:rsid w:val="00651015"/>
    <w:rsid w:val="00672A7B"/>
    <w:rsid w:val="006B0CC7"/>
    <w:rsid w:val="006D3D69"/>
    <w:rsid w:val="00701131"/>
    <w:rsid w:val="0073597E"/>
    <w:rsid w:val="00766F12"/>
    <w:rsid w:val="0078768E"/>
    <w:rsid w:val="007D156D"/>
    <w:rsid w:val="007F50F2"/>
    <w:rsid w:val="007F540A"/>
    <w:rsid w:val="00810FF0"/>
    <w:rsid w:val="008403B9"/>
    <w:rsid w:val="00866A7E"/>
    <w:rsid w:val="008B10A4"/>
    <w:rsid w:val="009715A6"/>
    <w:rsid w:val="00981580"/>
    <w:rsid w:val="00995D8F"/>
    <w:rsid w:val="009F6248"/>
    <w:rsid w:val="00B01456"/>
    <w:rsid w:val="00B55C94"/>
    <w:rsid w:val="00BD6F7F"/>
    <w:rsid w:val="00BE5B0C"/>
    <w:rsid w:val="00C0422E"/>
    <w:rsid w:val="00C163DD"/>
    <w:rsid w:val="00CB18D8"/>
    <w:rsid w:val="00CB2571"/>
    <w:rsid w:val="00CD57F5"/>
    <w:rsid w:val="00D0650D"/>
    <w:rsid w:val="00D41447"/>
    <w:rsid w:val="00DD0911"/>
    <w:rsid w:val="00DE5145"/>
    <w:rsid w:val="00DF45F2"/>
    <w:rsid w:val="00E07222"/>
    <w:rsid w:val="00E36B27"/>
    <w:rsid w:val="00E47F10"/>
    <w:rsid w:val="00E7030E"/>
    <w:rsid w:val="00EB3FA4"/>
    <w:rsid w:val="00EF7695"/>
    <w:rsid w:val="00F05FE8"/>
    <w:rsid w:val="00F426A9"/>
    <w:rsid w:val="00F62689"/>
    <w:rsid w:val="00F8600D"/>
    <w:rsid w:val="00FA2B8A"/>
    <w:rsid w:val="01017684"/>
    <w:rsid w:val="011B6997"/>
    <w:rsid w:val="017716F4"/>
    <w:rsid w:val="01863CD4"/>
    <w:rsid w:val="01EF572E"/>
    <w:rsid w:val="02AF383B"/>
    <w:rsid w:val="02C848FD"/>
    <w:rsid w:val="02CC3F80"/>
    <w:rsid w:val="02E62FD5"/>
    <w:rsid w:val="036F7328"/>
    <w:rsid w:val="038500F8"/>
    <w:rsid w:val="03F1578E"/>
    <w:rsid w:val="04351B1E"/>
    <w:rsid w:val="04770389"/>
    <w:rsid w:val="049820AD"/>
    <w:rsid w:val="04F558CD"/>
    <w:rsid w:val="05433A58"/>
    <w:rsid w:val="05AD1B88"/>
    <w:rsid w:val="0639166E"/>
    <w:rsid w:val="065F7326"/>
    <w:rsid w:val="06F35CC1"/>
    <w:rsid w:val="06FF01C2"/>
    <w:rsid w:val="07794418"/>
    <w:rsid w:val="07D7113E"/>
    <w:rsid w:val="0865674A"/>
    <w:rsid w:val="089E3A0A"/>
    <w:rsid w:val="0A7B04A7"/>
    <w:rsid w:val="0AAC240E"/>
    <w:rsid w:val="0AD35BED"/>
    <w:rsid w:val="0B332B30"/>
    <w:rsid w:val="0B416FFB"/>
    <w:rsid w:val="0BF24799"/>
    <w:rsid w:val="0C122745"/>
    <w:rsid w:val="0CA710DF"/>
    <w:rsid w:val="0D0F77FB"/>
    <w:rsid w:val="0D307327"/>
    <w:rsid w:val="0D991370"/>
    <w:rsid w:val="0DCD2DC7"/>
    <w:rsid w:val="0E9E6D55"/>
    <w:rsid w:val="0ECA5559"/>
    <w:rsid w:val="0F955B67"/>
    <w:rsid w:val="100A7C74"/>
    <w:rsid w:val="100D1BA1"/>
    <w:rsid w:val="10A5781E"/>
    <w:rsid w:val="10CD30DE"/>
    <w:rsid w:val="10D75D0B"/>
    <w:rsid w:val="110E3E23"/>
    <w:rsid w:val="11515ABE"/>
    <w:rsid w:val="11651C1F"/>
    <w:rsid w:val="118E0AC0"/>
    <w:rsid w:val="11B5111E"/>
    <w:rsid w:val="11F12DFD"/>
    <w:rsid w:val="11F860BB"/>
    <w:rsid w:val="126B2BAF"/>
    <w:rsid w:val="12CA5B28"/>
    <w:rsid w:val="130D010A"/>
    <w:rsid w:val="13531FC1"/>
    <w:rsid w:val="13FD1F2D"/>
    <w:rsid w:val="14056E0A"/>
    <w:rsid w:val="14CD5DA3"/>
    <w:rsid w:val="14E07884"/>
    <w:rsid w:val="150177FB"/>
    <w:rsid w:val="15475B55"/>
    <w:rsid w:val="15AB60E4"/>
    <w:rsid w:val="15CE1DD3"/>
    <w:rsid w:val="15D62A35"/>
    <w:rsid w:val="15F1786F"/>
    <w:rsid w:val="165C0979"/>
    <w:rsid w:val="17BB1EE3"/>
    <w:rsid w:val="17E40C1E"/>
    <w:rsid w:val="18257149"/>
    <w:rsid w:val="183D3240"/>
    <w:rsid w:val="185145F5"/>
    <w:rsid w:val="189F7A56"/>
    <w:rsid w:val="18EE62E8"/>
    <w:rsid w:val="190873AA"/>
    <w:rsid w:val="1945415A"/>
    <w:rsid w:val="19612EEF"/>
    <w:rsid w:val="19731E77"/>
    <w:rsid w:val="19D13C3F"/>
    <w:rsid w:val="1A1678A4"/>
    <w:rsid w:val="1A5605E9"/>
    <w:rsid w:val="1A733A07"/>
    <w:rsid w:val="1A8E7D82"/>
    <w:rsid w:val="1AD60FA6"/>
    <w:rsid w:val="1B271821"/>
    <w:rsid w:val="1B530684"/>
    <w:rsid w:val="1B8A054A"/>
    <w:rsid w:val="1BA710FC"/>
    <w:rsid w:val="1BE0460E"/>
    <w:rsid w:val="1BEC69FA"/>
    <w:rsid w:val="1C2A7637"/>
    <w:rsid w:val="1C686482"/>
    <w:rsid w:val="1C7134B8"/>
    <w:rsid w:val="1CEF7D82"/>
    <w:rsid w:val="1D572DDB"/>
    <w:rsid w:val="1DA84CB7"/>
    <w:rsid w:val="1DDC40A8"/>
    <w:rsid w:val="1DE2466D"/>
    <w:rsid w:val="1DE63A32"/>
    <w:rsid w:val="1E2D340E"/>
    <w:rsid w:val="1E541A70"/>
    <w:rsid w:val="1E562965"/>
    <w:rsid w:val="1E5B441F"/>
    <w:rsid w:val="1E9E60BA"/>
    <w:rsid w:val="1EAC4C7B"/>
    <w:rsid w:val="1F185CDC"/>
    <w:rsid w:val="1F2C36C6"/>
    <w:rsid w:val="200C3C23"/>
    <w:rsid w:val="2091237A"/>
    <w:rsid w:val="21D70261"/>
    <w:rsid w:val="21F26E49"/>
    <w:rsid w:val="226A4C31"/>
    <w:rsid w:val="227B299A"/>
    <w:rsid w:val="22813D29"/>
    <w:rsid w:val="229C0B63"/>
    <w:rsid w:val="22CD6F6E"/>
    <w:rsid w:val="230E380E"/>
    <w:rsid w:val="24174945"/>
    <w:rsid w:val="24405CE8"/>
    <w:rsid w:val="249064A5"/>
    <w:rsid w:val="24C22B02"/>
    <w:rsid w:val="25394189"/>
    <w:rsid w:val="25583467"/>
    <w:rsid w:val="255E4015"/>
    <w:rsid w:val="256C658B"/>
    <w:rsid w:val="26924756"/>
    <w:rsid w:val="26B20955"/>
    <w:rsid w:val="270C62B7"/>
    <w:rsid w:val="27182EAE"/>
    <w:rsid w:val="278422F1"/>
    <w:rsid w:val="27D33279"/>
    <w:rsid w:val="280B656E"/>
    <w:rsid w:val="280D6783"/>
    <w:rsid w:val="287F7488"/>
    <w:rsid w:val="28E55011"/>
    <w:rsid w:val="28F90ABD"/>
    <w:rsid w:val="29194CBB"/>
    <w:rsid w:val="298011DE"/>
    <w:rsid w:val="29BF1D06"/>
    <w:rsid w:val="29C9048F"/>
    <w:rsid w:val="2A924D25"/>
    <w:rsid w:val="2AC46EA9"/>
    <w:rsid w:val="2ACD0453"/>
    <w:rsid w:val="2B38096A"/>
    <w:rsid w:val="2B9E76FA"/>
    <w:rsid w:val="2BE37692"/>
    <w:rsid w:val="2BF35C97"/>
    <w:rsid w:val="2C063C1D"/>
    <w:rsid w:val="2C197BFF"/>
    <w:rsid w:val="2C385DA0"/>
    <w:rsid w:val="2C710E56"/>
    <w:rsid w:val="2CAB0320"/>
    <w:rsid w:val="2D426ED6"/>
    <w:rsid w:val="2D574004"/>
    <w:rsid w:val="2D744BB6"/>
    <w:rsid w:val="2D7921CC"/>
    <w:rsid w:val="2E0B376C"/>
    <w:rsid w:val="2E0C7A65"/>
    <w:rsid w:val="2E781A66"/>
    <w:rsid w:val="2EA15E7F"/>
    <w:rsid w:val="2EDC0C65"/>
    <w:rsid w:val="2FAD0853"/>
    <w:rsid w:val="2FFF10AF"/>
    <w:rsid w:val="30054C03"/>
    <w:rsid w:val="30212840"/>
    <w:rsid w:val="308C66BA"/>
    <w:rsid w:val="32BD2B5B"/>
    <w:rsid w:val="335E433E"/>
    <w:rsid w:val="3469072A"/>
    <w:rsid w:val="346F257B"/>
    <w:rsid w:val="35004F81"/>
    <w:rsid w:val="36637EBD"/>
    <w:rsid w:val="369436F4"/>
    <w:rsid w:val="36E96615"/>
    <w:rsid w:val="36EE7787"/>
    <w:rsid w:val="36F11025"/>
    <w:rsid w:val="373F4487"/>
    <w:rsid w:val="37826121"/>
    <w:rsid w:val="38B467AE"/>
    <w:rsid w:val="38BB7B3D"/>
    <w:rsid w:val="39A369DF"/>
    <w:rsid w:val="39EB6200"/>
    <w:rsid w:val="3A371445"/>
    <w:rsid w:val="3A5169AB"/>
    <w:rsid w:val="3A824DB6"/>
    <w:rsid w:val="3ABB02C8"/>
    <w:rsid w:val="3AC151B3"/>
    <w:rsid w:val="3BF70E8C"/>
    <w:rsid w:val="3C0D6901"/>
    <w:rsid w:val="3C5462DE"/>
    <w:rsid w:val="3C814BF9"/>
    <w:rsid w:val="3CCA65A0"/>
    <w:rsid w:val="3D163594"/>
    <w:rsid w:val="3D4F2F4A"/>
    <w:rsid w:val="3D580050"/>
    <w:rsid w:val="3D9257E8"/>
    <w:rsid w:val="3DB42DAD"/>
    <w:rsid w:val="3DC72AE0"/>
    <w:rsid w:val="3E23065E"/>
    <w:rsid w:val="3E8310FD"/>
    <w:rsid w:val="3E86299B"/>
    <w:rsid w:val="3F5B7984"/>
    <w:rsid w:val="400E0E9A"/>
    <w:rsid w:val="40464190"/>
    <w:rsid w:val="40A8309D"/>
    <w:rsid w:val="40E13EB9"/>
    <w:rsid w:val="410D2F00"/>
    <w:rsid w:val="41432DC5"/>
    <w:rsid w:val="41FD4D22"/>
    <w:rsid w:val="42AD499A"/>
    <w:rsid w:val="42DC702D"/>
    <w:rsid w:val="42FC76D0"/>
    <w:rsid w:val="4374370A"/>
    <w:rsid w:val="438F40A0"/>
    <w:rsid w:val="43AF029E"/>
    <w:rsid w:val="43DB1093"/>
    <w:rsid w:val="43DE0B83"/>
    <w:rsid w:val="44094EBE"/>
    <w:rsid w:val="4450382F"/>
    <w:rsid w:val="447D214A"/>
    <w:rsid w:val="44C91833"/>
    <w:rsid w:val="45561319"/>
    <w:rsid w:val="45E5269D"/>
    <w:rsid w:val="45EF7078"/>
    <w:rsid w:val="469814BD"/>
    <w:rsid w:val="46FD6269"/>
    <w:rsid w:val="47321912"/>
    <w:rsid w:val="474E7DCE"/>
    <w:rsid w:val="47CA7D9C"/>
    <w:rsid w:val="47D00801"/>
    <w:rsid w:val="484A67E7"/>
    <w:rsid w:val="48CE4062"/>
    <w:rsid w:val="49675AE0"/>
    <w:rsid w:val="4981448B"/>
    <w:rsid w:val="49AB1508"/>
    <w:rsid w:val="4A4A2ACF"/>
    <w:rsid w:val="4A5D4EF8"/>
    <w:rsid w:val="4A7D2EA4"/>
    <w:rsid w:val="4AF84C20"/>
    <w:rsid w:val="4B1355B6"/>
    <w:rsid w:val="4B842010"/>
    <w:rsid w:val="4C0B44E0"/>
    <w:rsid w:val="4C4A3CC1"/>
    <w:rsid w:val="4CE74F4D"/>
    <w:rsid w:val="4E3917D8"/>
    <w:rsid w:val="4E50267E"/>
    <w:rsid w:val="4EFB4CDF"/>
    <w:rsid w:val="4F37369C"/>
    <w:rsid w:val="4F691C49"/>
    <w:rsid w:val="4F6A6BA6"/>
    <w:rsid w:val="4F764366"/>
    <w:rsid w:val="4FCE41A2"/>
    <w:rsid w:val="505E7FFF"/>
    <w:rsid w:val="51053BF3"/>
    <w:rsid w:val="51396E83"/>
    <w:rsid w:val="5196484B"/>
    <w:rsid w:val="51CD2963"/>
    <w:rsid w:val="52195BA8"/>
    <w:rsid w:val="52552958"/>
    <w:rsid w:val="52756B57"/>
    <w:rsid w:val="52BB6C5F"/>
    <w:rsid w:val="53316F22"/>
    <w:rsid w:val="53BF0089"/>
    <w:rsid w:val="53D224B3"/>
    <w:rsid w:val="54120B01"/>
    <w:rsid w:val="549038FC"/>
    <w:rsid w:val="54C47921"/>
    <w:rsid w:val="54C65448"/>
    <w:rsid w:val="54D97871"/>
    <w:rsid w:val="554D5B69"/>
    <w:rsid w:val="5550516C"/>
    <w:rsid w:val="55CE0A58"/>
    <w:rsid w:val="55E7425E"/>
    <w:rsid w:val="55ED2A0F"/>
    <w:rsid w:val="5632548A"/>
    <w:rsid w:val="56372AA1"/>
    <w:rsid w:val="564C5E20"/>
    <w:rsid w:val="56F95FA8"/>
    <w:rsid w:val="575E22AF"/>
    <w:rsid w:val="57EA584B"/>
    <w:rsid w:val="580469B3"/>
    <w:rsid w:val="5805272B"/>
    <w:rsid w:val="5847689F"/>
    <w:rsid w:val="587D0513"/>
    <w:rsid w:val="58F85DEC"/>
    <w:rsid w:val="595B71BC"/>
    <w:rsid w:val="5ACB7C5C"/>
    <w:rsid w:val="5AEB3E5A"/>
    <w:rsid w:val="5C433822"/>
    <w:rsid w:val="5CEE5E83"/>
    <w:rsid w:val="5DF272AD"/>
    <w:rsid w:val="5E6A153A"/>
    <w:rsid w:val="5F334021"/>
    <w:rsid w:val="5F8B5C0B"/>
    <w:rsid w:val="5FEC48FC"/>
    <w:rsid w:val="5FFE462F"/>
    <w:rsid w:val="60200102"/>
    <w:rsid w:val="6045400C"/>
    <w:rsid w:val="60BE691E"/>
    <w:rsid w:val="612D3437"/>
    <w:rsid w:val="619A0388"/>
    <w:rsid w:val="62731869"/>
    <w:rsid w:val="6284015A"/>
    <w:rsid w:val="6292105F"/>
    <w:rsid w:val="63B75221"/>
    <w:rsid w:val="63C33BC6"/>
    <w:rsid w:val="63E1229E"/>
    <w:rsid w:val="641C5084"/>
    <w:rsid w:val="64852C29"/>
    <w:rsid w:val="64DC6501"/>
    <w:rsid w:val="64E738E4"/>
    <w:rsid w:val="650541C2"/>
    <w:rsid w:val="656E190F"/>
    <w:rsid w:val="666B0C12"/>
    <w:rsid w:val="66CA7019"/>
    <w:rsid w:val="66D86074"/>
    <w:rsid w:val="66E55C01"/>
    <w:rsid w:val="670A05F1"/>
    <w:rsid w:val="670C13E0"/>
    <w:rsid w:val="67762CFD"/>
    <w:rsid w:val="67EF78EE"/>
    <w:rsid w:val="689125EA"/>
    <w:rsid w:val="68EB3277"/>
    <w:rsid w:val="690802CD"/>
    <w:rsid w:val="69AE677E"/>
    <w:rsid w:val="69D64D5B"/>
    <w:rsid w:val="6A4E6C2F"/>
    <w:rsid w:val="6A6D758A"/>
    <w:rsid w:val="6B0B19AE"/>
    <w:rsid w:val="6B120F8F"/>
    <w:rsid w:val="6B882FFF"/>
    <w:rsid w:val="6BAE0CB8"/>
    <w:rsid w:val="6C044D7B"/>
    <w:rsid w:val="6C384A25"/>
    <w:rsid w:val="6D417909"/>
    <w:rsid w:val="6D5835D1"/>
    <w:rsid w:val="6D68758C"/>
    <w:rsid w:val="6D8E09FB"/>
    <w:rsid w:val="6D9E452C"/>
    <w:rsid w:val="6DA2484C"/>
    <w:rsid w:val="6DF826BE"/>
    <w:rsid w:val="6EA463A2"/>
    <w:rsid w:val="6F3F60CB"/>
    <w:rsid w:val="6F55769C"/>
    <w:rsid w:val="6F6D70DC"/>
    <w:rsid w:val="6FBB39A3"/>
    <w:rsid w:val="6FC34F4E"/>
    <w:rsid w:val="7012558D"/>
    <w:rsid w:val="701B6B38"/>
    <w:rsid w:val="706F478E"/>
    <w:rsid w:val="708C17E3"/>
    <w:rsid w:val="714F6A99"/>
    <w:rsid w:val="716562BC"/>
    <w:rsid w:val="71F4319C"/>
    <w:rsid w:val="724F4877"/>
    <w:rsid w:val="729A01E8"/>
    <w:rsid w:val="73005B71"/>
    <w:rsid w:val="7302232E"/>
    <w:rsid w:val="736507F6"/>
    <w:rsid w:val="737C5B3F"/>
    <w:rsid w:val="74061605"/>
    <w:rsid w:val="740D2C3B"/>
    <w:rsid w:val="74DC4AE7"/>
    <w:rsid w:val="75137DDD"/>
    <w:rsid w:val="75B24DA5"/>
    <w:rsid w:val="75D752AF"/>
    <w:rsid w:val="75FE283B"/>
    <w:rsid w:val="76595CC4"/>
    <w:rsid w:val="76B4739E"/>
    <w:rsid w:val="76C577FD"/>
    <w:rsid w:val="771816DB"/>
    <w:rsid w:val="773D3837"/>
    <w:rsid w:val="77C064F0"/>
    <w:rsid w:val="781F4CEB"/>
    <w:rsid w:val="78210A63"/>
    <w:rsid w:val="783267CC"/>
    <w:rsid w:val="783469E8"/>
    <w:rsid w:val="788259A6"/>
    <w:rsid w:val="78917997"/>
    <w:rsid w:val="78D635FC"/>
    <w:rsid w:val="793B5B55"/>
    <w:rsid w:val="79424897"/>
    <w:rsid w:val="796B643A"/>
    <w:rsid w:val="79BF6786"/>
    <w:rsid w:val="79DF0BD6"/>
    <w:rsid w:val="79ED32F3"/>
    <w:rsid w:val="7A5C5D83"/>
    <w:rsid w:val="7B0703E4"/>
    <w:rsid w:val="7C701FB9"/>
    <w:rsid w:val="7D537911"/>
    <w:rsid w:val="7E543940"/>
    <w:rsid w:val="7E9957F7"/>
    <w:rsid w:val="7F2F7F0A"/>
    <w:rsid w:val="7F4339B5"/>
    <w:rsid w:val="7F5160D2"/>
    <w:rsid w:val="7F8740E8"/>
    <w:rsid w:val="7FB641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624"/>
    </w:pPr>
  </w:style>
  <w:style w:type="paragraph" w:styleId="3">
    <w:name w:val="Body Text"/>
    <w:basedOn w:val="1"/>
    <w:qFormat/>
    <w:uiPriority w:val="0"/>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Autospacing="1" w:afterAutospacing="1"/>
      <w:jc w:val="left"/>
    </w:pPr>
    <w:rPr>
      <w:kern w:val="0"/>
      <w:sz w:val="24"/>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paragraph" w:customStyle="1" w:styleId="13">
    <w:name w:val="标准文件_章标题"/>
    <w:next w:val="14"/>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准文件_一级条标题"/>
    <w:basedOn w:val="13"/>
    <w:next w:val="14"/>
    <w:qFormat/>
    <w:uiPriority w:val="0"/>
    <w:pPr>
      <w:numPr>
        <w:ilvl w:val="2"/>
      </w:numPr>
      <w:spacing w:beforeLines="50" w:afterLines="50"/>
      <w:outlineLvl w:val="1"/>
    </w:pPr>
  </w:style>
  <w:style w:type="paragraph" w:customStyle="1" w:styleId="16">
    <w:name w:val="标准文件_二级无标题"/>
    <w:basedOn w:val="17"/>
    <w:qFormat/>
    <w:uiPriority w:val="0"/>
    <w:pPr>
      <w:spacing w:beforeLines="0" w:afterLines="0"/>
      <w:outlineLvl w:val="9"/>
    </w:pPr>
    <w:rPr>
      <w:rFonts w:ascii="宋体" w:eastAsia="宋体"/>
    </w:rPr>
  </w:style>
  <w:style w:type="paragraph" w:customStyle="1" w:styleId="17">
    <w:name w:val="标准文件_二级条标题"/>
    <w:next w:val="14"/>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521</Words>
  <Characters>2973</Characters>
  <Lines>24</Lines>
  <Paragraphs>6</Paragraphs>
  <TotalTime>0</TotalTime>
  <ScaleCrop>false</ScaleCrop>
  <LinksUpToDate>false</LinksUpToDate>
  <CharactersWithSpaces>3488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2022-08-04T09:20:00Z</dcterms:created>
  <dc:creator>bzzx</dc:creator>
  <cp:lastModifiedBy>李金梅</cp:lastModifiedBy>
  <cp:lastPrinted>2022-08-03T08:42:00Z</cp:lastPrinted>
  <dcterms:modified xsi:type="dcterms:W3CDTF">2022-08-08T07:25:43Z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403F7BE8512D4057A360705A78605383</vt:lpwstr>
  </property>
</Properties>
</file>